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tabs>
          <w:tab w:val="left" w:pos="361"/>
        </w:tabs>
        <w:spacing w:before="0"/>
        <w:ind w:left="0"/>
        <w:jc w:val="center"/>
      </w:pPr>
      <w:r>
        <w:drawing>
          <wp:inline distT="0" distB="0" distL="0" distR="0">
            <wp:extent cx="5342255" cy="2296795"/>
            <wp:effectExtent l="0" t="0" r="4445"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 cstate="print">
                      <a:extLst>
                        <a:ext uri="{28A0092B-C50C-407E-A947-70E740481C1C}">
                          <a14:useLocalDpi xmlns:a14="http://schemas.microsoft.com/office/drawing/2010/main" val="0"/>
                        </a:ext>
                      </a:extLst>
                    </a:blip>
                    <a:srcRect l="1361" t="1270" r="798" b="2437"/>
                    <a:stretch>
                      <a:fillRect/>
                    </a:stretch>
                  </pic:blipFill>
                  <pic:spPr>
                    <a:xfrm>
                      <a:off x="0" y="0"/>
                      <a:ext cx="5342255" cy="2296795"/>
                    </a:xfrm>
                    <a:prstGeom prst="rect">
                      <a:avLst/>
                    </a:prstGeom>
                    <a:ln>
                      <a:noFill/>
                    </a:ln>
                  </pic:spPr>
                </pic:pic>
              </a:graphicData>
            </a:graphic>
          </wp:inline>
        </w:drawing>
      </w:r>
    </w:p>
    <w:p>
      <w:pPr>
        <w:jc w:val="center"/>
        <w:rPr>
          <w:rFonts w:ascii="Times New Roman" w:hAnsi="Times New Roman" w:cs="Times New Roman"/>
          <w:szCs w:val="28"/>
        </w:rPr>
      </w:pPr>
      <w:r>
        <w:rPr>
          <w:rFonts w:ascii="Times New Roman" w:hAnsi="Times New Roman" w:cs="Times New Roman"/>
          <w:b/>
          <w:bCs/>
          <w:szCs w:val="28"/>
        </w:rPr>
        <w:t xml:space="preserve">Figure </w:t>
      </w:r>
      <w:r>
        <w:rPr>
          <w:rFonts w:ascii="Times New Roman" w:hAnsi="Times New Roman" w:cs="Times New Roman"/>
          <w:b/>
          <w:bCs/>
          <w:kern w:val="0"/>
          <w:szCs w:val="24"/>
          <w:lang w:eastAsia="en-US" w:bidi="en-US"/>
        </w:rPr>
        <w:t>1</w:t>
      </w:r>
      <w:r>
        <w:rPr>
          <w:rFonts w:ascii="Times New Roman" w:hAnsi="Times New Roman" w:cs="Times New Roman"/>
          <w:b/>
          <w:bCs/>
          <w:szCs w:val="28"/>
        </w:rPr>
        <w:t>.</w:t>
      </w:r>
      <w:r>
        <w:rPr>
          <w:rFonts w:ascii="Times New Roman" w:hAnsi="Times New Roman" w:cs="Times New Roman"/>
          <w:szCs w:val="28"/>
        </w:rPr>
        <w:t xml:space="preserve"> </w:t>
      </w:r>
      <w:r>
        <w:rPr>
          <w:rFonts w:ascii="Times New Roman" w:hAnsi="Times New Roman" w:cs="Times New Roman"/>
          <w:b/>
          <w:bCs/>
          <w:szCs w:val="28"/>
        </w:rPr>
        <w:t>Critical nodes in the process of embryo engineering technology</w:t>
      </w:r>
      <w:r>
        <w:rPr>
          <w:rFonts w:ascii="Times New Roman" w:hAnsi="Times New Roman" w:cs="Times New Roman"/>
          <w:szCs w:val="28"/>
        </w:rPr>
        <w:t xml:space="preserve"> (take SCNT as an example)</w:t>
      </w:r>
      <w:r>
        <w:rPr>
          <w:rFonts w:ascii="Times New Roman" w:hAnsi="Times New Roman" w:eastAsia="宋体" w:cs="Times New Roman"/>
          <w:szCs w:val="28"/>
        </w:rPr>
        <w:t>.</w:t>
      </w:r>
    </w:p>
    <w:p/>
    <w:p/>
    <w:p/>
    <w:p/>
    <w:p/>
    <w:p/>
    <w:p/>
    <w:p/>
    <w:p/>
    <w:p/>
    <w:p/>
    <w:p/>
    <w:p/>
    <w:p/>
    <w:p/>
    <w:p/>
    <w:p/>
    <w:p/>
    <w:p/>
    <w:p/>
    <w:p/>
    <w:p/>
    <w:p/>
    <w:p/>
    <w:p/>
    <w:p/>
    <w:p/>
    <w:p/>
    <w:p/>
    <w:p/>
    <w:p>
      <w:pPr>
        <w:pStyle w:val="2"/>
        <w:tabs>
          <w:tab w:val="left" w:pos="361"/>
        </w:tabs>
        <w:spacing w:before="0"/>
        <w:ind w:left="0"/>
        <w:jc w:val="center"/>
        <w:rPr>
          <w:b w:val="0"/>
          <w:bCs w:val="0"/>
        </w:rPr>
      </w:pPr>
      <w:r>
        <w:rPr>
          <w:b w:val="0"/>
          <w:bCs w:val="0"/>
        </w:rPr>
        <w:drawing>
          <wp:inline distT="0" distB="0" distL="0" distR="0">
            <wp:extent cx="5334635" cy="2004695"/>
            <wp:effectExtent l="0" t="0" r="12065"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
                      <a:extLst>
                        <a:ext uri="{28A0092B-C50C-407E-A947-70E740481C1C}">
                          <a14:useLocalDpi xmlns:a14="http://schemas.microsoft.com/office/drawing/2010/main" val="0"/>
                        </a:ext>
                      </a:extLst>
                    </a:blip>
                    <a:srcRect b="638"/>
                    <a:stretch>
                      <a:fillRect/>
                    </a:stretch>
                  </pic:blipFill>
                  <pic:spPr>
                    <a:xfrm>
                      <a:off x="0" y="0"/>
                      <a:ext cx="5334635" cy="2005149"/>
                    </a:xfrm>
                    <a:prstGeom prst="rect">
                      <a:avLst/>
                    </a:prstGeom>
                    <a:noFill/>
                    <a:ln>
                      <a:noFill/>
                    </a:ln>
                  </pic:spPr>
                </pic:pic>
              </a:graphicData>
            </a:graphic>
          </wp:inline>
        </w:drawing>
      </w:r>
    </w:p>
    <w:p>
      <w:pPr>
        <w:jc w:val="center"/>
        <w:rPr>
          <w:rFonts w:ascii="Times New Roman" w:hAnsi="Times New Roman" w:cs="Times New Roman"/>
        </w:rPr>
      </w:pPr>
      <w:r>
        <w:rPr>
          <w:rFonts w:ascii="Times New Roman" w:hAnsi="Times New Roman" w:cs="Times New Roman"/>
          <w:b/>
          <w:bCs/>
        </w:rPr>
        <w:t xml:space="preserve">Figure </w:t>
      </w:r>
      <w:r>
        <w:rPr>
          <w:rFonts w:ascii="Times New Roman" w:hAnsi="Times New Roman" w:cs="Times New Roman"/>
          <w:b/>
          <w:bCs/>
          <w:kern w:val="0"/>
          <w:szCs w:val="24"/>
          <w:lang w:eastAsia="en-US" w:bidi="en-US"/>
        </w:rPr>
        <w:t>2</w:t>
      </w:r>
      <w:r>
        <w:rPr>
          <w:rFonts w:ascii="Times New Roman" w:hAnsi="Times New Roman" w:cs="Times New Roman"/>
          <w:b/>
          <w:bCs/>
        </w:rPr>
        <w:t>. Image recognition of the end-effector</w:t>
      </w:r>
      <w:r>
        <w:rPr>
          <w:rFonts w:ascii="Times New Roman" w:hAnsi="Times New Roman" w:eastAsia="宋体" w:cs="Times New Roman"/>
          <w:b/>
          <w:bCs/>
        </w:rPr>
        <w:t>.</w:t>
      </w:r>
      <w:r>
        <w:rPr>
          <w:rFonts w:ascii="Times New Roman" w:hAnsi="Times New Roman" w:cs="Times New Roman"/>
          <w:b/>
          <w:bCs/>
        </w:rPr>
        <w:t xml:space="preserve"> </w:t>
      </w:r>
      <w:r>
        <w:rPr>
          <w:rFonts w:ascii="Times New Roman" w:hAnsi="Times New Roman" w:cs="Times New Roman"/>
        </w:rPr>
        <w:t>(A) Track the position of the microgripper through an iterative closest point algorithm</w:t>
      </w:r>
      <w:r>
        <w:rPr>
          <w:rFonts w:ascii="Times New Roman" w:hAnsi="Times New Roman" w:eastAsia="宋体" w:cs="Times New Roman"/>
        </w:rPr>
        <w:t>.</w:t>
      </w:r>
      <w:r>
        <w:rPr>
          <w:rFonts w:ascii="Times New Roman" w:hAnsi="Times New Roman" w:cs="Times New Roman"/>
        </w:rPr>
        <w:t xml:space="preserve"> Adapted with permission from [18]. (B) Recognize microinjection needles and microtweezers through algorithms based on motion history images (MHI) and active contour models. Adapted with permission from [18], copyright 2012 IEEE, and [22], copyright 2013 IEEE.</w:t>
      </w:r>
    </w:p>
    <w:p/>
    <w:p/>
    <w:p/>
    <w:p/>
    <w:p/>
    <w:p/>
    <w:p/>
    <w:p/>
    <w:p/>
    <w:p/>
    <w:p/>
    <w:p/>
    <w:p/>
    <w:p/>
    <w:p/>
    <w:p/>
    <w:p/>
    <w:p/>
    <w:p/>
    <w:p/>
    <w:p/>
    <w:p/>
    <w:p/>
    <w:p/>
    <w:p/>
    <w:p/>
    <w:p/>
    <w:p>
      <w:pPr>
        <w:jc w:val="center"/>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5128260" cy="2986405"/>
            <wp:effectExtent l="0" t="0" r="2540" b="1079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6">
                      <a:extLst>
                        <a:ext uri="{28A0092B-C50C-407E-A947-70E740481C1C}">
                          <a14:useLocalDpi xmlns:a14="http://schemas.microsoft.com/office/drawing/2010/main" val="0"/>
                        </a:ext>
                      </a:extLst>
                    </a:blip>
                    <a:srcRect l="569"/>
                    <a:stretch>
                      <a:fillRect/>
                    </a:stretch>
                  </pic:blipFill>
                  <pic:spPr>
                    <a:xfrm>
                      <a:off x="0" y="0"/>
                      <a:ext cx="5146278" cy="2997242"/>
                    </a:xfrm>
                    <a:prstGeom prst="rect">
                      <a:avLst/>
                    </a:prstGeom>
                    <a:noFill/>
                    <a:ln>
                      <a:noFill/>
                    </a:ln>
                  </pic:spPr>
                </pic:pic>
              </a:graphicData>
            </a:graphic>
          </wp:inline>
        </w:drawing>
      </w:r>
    </w:p>
    <w:p>
      <w:pPr>
        <w:jc w:val="center"/>
        <w:rPr>
          <w:rFonts w:ascii="Times New Roman" w:hAnsi="Times New Roman" w:cs="Times New Roman"/>
        </w:rPr>
      </w:pPr>
      <w:r>
        <w:rPr>
          <w:rFonts w:ascii="Times New Roman" w:hAnsi="Times New Roman" w:cs="Times New Roman"/>
          <w:b/>
          <w:bCs/>
        </w:rPr>
        <w:t xml:space="preserve">Figure </w:t>
      </w:r>
      <w:r>
        <w:rPr>
          <w:rFonts w:ascii="Times New Roman" w:hAnsi="Times New Roman" w:cs="Times New Roman"/>
          <w:b/>
          <w:bCs/>
          <w:kern w:val="0"/>
          <w:szCs w:val="24"/>
          <w:lang w:eastAsia="en-US" w:bidi="en-US"/>
        </w:rPr>
        <w:t>3</w:t>
      </w:r>
      <w:r>
        <w:rPr>
          <w:rFonts w:ascii="Times New Roman" w:hAnsi="Times New Roman" w:cs="Times New Roman"/>
          <w:b/>
          <w:bCs/>
        </w:rPr>
        <w:t>. Image recognition of different parts of oocytes.</w:t>
      </w:r>
      <w:r>
        <w:rPr>
          <w:rFonts w:ascii="Times New Roman" w:hAnsi="Times New Roman" w:cs="Times New Roman"/>
        </w:rPr>
        <w:t xml:space="preserve"> (A) Detection of the chorion and cytoplasm of zebrafish oocytes and the edge of the microinjection needle by the Canny algorithm. (B) Detection of the existence and direction of polar bodies through image processing. (C) The fusion images from polarized light microscopy imaging systems and the traditional optical inverted microscope imaging system and the edge information of the fusion image. Adapted with permission from [</w:t>
      </w:r>
      <w:r>
        <w:rPr>
          <w:rFonts w:ascii="Times New Roman" w:hAnsi="Times New Roman" w:cs="Times New Roman"/>
          <w:kern w:val="0"/>
          <w:szCs w:val="24"/>
          <w:lang w:eastAsia="en-US" w:bidi="en-US"/>
        </w:rPr>
        <w:t>34</w:t>
      </w:r>
      <w:r>
        <w:rPr>
          <w:rFonts w:ascii="Times New Roman" w:hAnsi="Times New Roman" w:cs="Times New Roman"/>
        </w:rPr>
        <w:t>], copyright 2009 IEEE, and [</w:t>
      </w:r>
      <w:r>
        <w:rPr>
          <w:rFonts w:ascii="Times New Roman" w:hAnsi="Times New Roman" w:cs="Times New Roman"/>
          <w:kern w:val="0"/>
          <w:szCs w:val="24"/>
          <w:lang w:eastAsia="en-US" w:bidi="en-US"/>
        </w:rPr>
        <w:t>39</w:t>
      </w:r>
      <w:r>
        <w:rPr>
          <w:rFonts w:ascii="Times New Roman" w:hAnsi="Times New Roman" w:cs="Times New Roman"/>
        </w:rPr>
        <w:t>], copyright 2017 IEEE, and [</w:t>
      </w:r>
      <w:r>
        <w:rPr>
          <w:rFonts w:ascii="Times New Roman" w:hAnsi="Times New Roman" w:cs="Times New Roman"/>
          <w:kern w:val="0"/>
          <w:szCs w:val="24"/>
          <w:lang w:eastAsia="en-US" w:bidi="en-US"/>
        </w:rPr>
        <w:t>48</w:t>
      </w:r>
      <w:r>
        <w:rPr>
          <w:rFonts w:ascii="Times New Roman" w:hAnsi="Times New Roman" w:cs="Times New Roman"/>
        </w:rPr>
        <w:t>], copyright 2013 IEEE.</w:t>
      </w:r>
    </w:p>
    <w:p/>
    <w:p/>
    <w:p/>
    <w:p/>
    <w:p/>
    <w:p/>
    <w:p/>
    <w:p/>
    <w:p/>
    <w:p/>
    <w:p/>
    <w:p/>
    <w:p/>
    <w:p/>
    <w:p/>
    <w:p/>
    <w:p/>
    <w:p/>
    <w:p/>
    <w:p/>
    <w:p/>
    <w:p>
      <w:pPr>
        <w:pStyle w:val="2"/>
        <w:tabs>
          <w:tab w:val="left" w:pos="361"/>
        </w:tabs>
        <w:spacing w:before="0"/>
        <w:ind w:left="0"/>
        <w:jc w:val="center"/>
        <w:rPr>
          <w:b w:val="0"/>
          <w:bCs w:val="0"/>
        </w:rPr>
      </w:pPr>
      <w:r>
        <w:rPr>
          <w:b w:val="0"/>
          <w:bCs w:val="0"/>
        </w:rPr>
        <w:drawing>
          <wp:inline distT="0" distB="0" distL="0" distR="0">
            <wp:extent cx="5259070" cy="2296160"/>
            <wp:effectExtent l="0" t="0" r="11430"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7">
                      <a:extLst>
                        <a:ext uri="{28A0092B-C50C-407E-A947-70E740481C1C}">
                          <a14:useLocalDpi xmlns:a14="http://schemas.microsoft.com/office/drawing/2010/main" val="0"/>
                        </a:ext>
                      </a:extLst>
                    </a:blip>
                    <a:srcRect l="1157" t="1014" r="986" b="1853"/>
                    <a:stretch>
                      <a:fillRect/>
                    </a:stretch>
                  </pic:blipFill>
                  <pic:spPr>
                    <a:xfrm>
                      <a:off x="0" y="0"/>
                      <a:ext cx="5261976" cy="2297549"/>
                    </a:xfrm>
                    <a:prstGeom prst="rect">
                      <a:avLst/>
                    </a:prstGeom>
                    <a:noFill/>
                    <a:ln>
                      <a:noFill/>
                    </a:ln>
                  </pic:spPr>
                </pic:pic>
              </a:graphicData>
            </a:graphic>
          </wp:inline>
        </w:drawing>
      </w:r>
    </w:p>
    <w:p>
      <w:pPr>
        <w:jc w:val="center"/>
        <w:rPr>
          <w:rFonts w:ascii="Times New Roman" w:hAnsi="Times New Roman" w:cs="Times New Roman"/>
        </w:rPr>
      </w:pPr>
      <w:r>
        <w:rPr>
          <w:rFonts w:ascii="Times New Roman" w:hAnsi="Times New Roman" w:cs="Times New Roman"/>
          <w:b/>
          <w:bCs/>
        </w:rPr>
        <w:t xml:space="preserve">Figure </w:t>
      </w:r>
      <w:r>
        <w:rPr>
          <w:rFonts w:ascii="Times New Roman" w:hAnsi="Times New Roman" w:cs="Times New Roman"/>
          <w:b/>
          <w:bCs/>
          <w:kern w:val="0"/>
          <w:szCs w:val="24"/>
          <w:lang w:eastAsia="en-US" w:bidi="en-US"/>
        </w:rPr>
        <w:t>4</w:t>
      </w:r>
      <w:r>
        <w:rPr>
          <w:rFonts w:ascii="Times New Roman" w:hAnsi="Times New Roman" w:cs="Times New Roman"/>
          <w:b/>
          <w:bCs/>
        </w:rPr>
        <w:t>. Contact cell fixation device.</w:t>
      </w:r>
      <w:r>
        <w:rPr>
          <w:rFonts w:ascii="Times New Roman" w:hAnsi="Times New Roman" w:cs="Times New Roman"/>
        </w:rPr>
        <w:t xml:space="preserve"> (A) The zebrafish embryo fixation device with arrayed hemispherical grooves. (B) The glass chip with arrayed round holes. Adapted with permission from [</w:t>
      </w:r>
      <w:r>
        <w:rPr>
          <w:rFonts w:ascii="Times New Roman" w:hAnsi="Times New Roman" w:cs="Times New Roman"/>
          <w:kern w:val="0"/>
          <w:szCs w:val="24"/>
          <w:lang w:eastAsia="en-US" w:bidi="en-US"/>
        </w:rPr>
        <w:t>34</w:t>
      </w:r>
      <w:r>
        <w:rPr>
          <w:rFonts w:ascii="Times New Roman" w:hAnsi="Times New Roman" w:cs="Times New Roman"/>
        </w:rPr>
        <w:t>], copyright 2009 IEEE, and [</w:t>
      </w:r>
      <w:r>
        <w:rPr>
          <w:rFonts w:ascii="Times New Roman" w:hAnsi="Times New Roman" w:cs="Times New Roman"/>
          <w:kern w:val="0"/>
          <w:szCs w:val="24"/>
          <w:lang w:eastAsia="en-US" w:bidi="en-US"/>
        </w:rPr>
        <w:t>53</w:t>
      </w:r>
      <w:r>
        <w:rPr>
          <w:rFonts w:ascii="Times New Roman" w:hAnsi="Times New Roman" w:cs="Times New Roman"/>
        </w:rPr>
        <w:t>], copyright 2009 Springer Nature.</w:t>
      </w:r>
    </w:p>
    <w:p/>
    <w:p/>
    <w:p/>
    <w:p/>
    <w:p/>
    <w:p/>
    <w:p/>
    <w:p/>
    <w:p/>
    <w:p/>
    <w:p/>
    <w:p/>
    <w:p/>
    <w:p/>
    <w:p/>
    <w:p/>
    <w:p/>
    <w:p/>
    <w:p/>
    <w:p/>
    <w:p/>
    <w:p/>
    <w:p/>
    <w:p/>
    <w:p/>
    <w:p/>
    <w:p/>
    <w:p/>
    <w:p>
      <w:pPr>
        <w:pStyle w:val="2"/>
        <w:tabs>
          <w:tab w:val="left" w:pos="361"/>
        </w:tabs>
        <w:spacing w:before="0"/>
        <w:ind w:left="0"/>
        <w:jc w:val="center"/>
        <w:rPr>
          <w:b w:val="0"/>
          <w:bCs w:val="0"/>
        </w:rPr>
      </w:pPr>
      <w:r>
        <w:rPr>
          <w:b w:val="0"/>
          <w:bCs w:val="0"/>
        </w:rPr>
        <w:drawing>
          <wp:inline distT="0" distB="0" distL="0" distR="0">
            <wp:extent cx="5250180" cy="206819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8">
                      <a:extLst>
                        <a:ext uri="{28A0092B-C50C-407E-A947-70E740481C1C}">
                          <a14:useLocalDpi xmlns:a14="http://schemas.microsoft.com/office/drawing/2010/main" val="0"/>
                        </a:ext>
                      </a:extLst>
                    </a:blip>
                    <a:srcRect t="1656" r="1000" b="1935"/>
                    <a:stretch>
                      <a:fillRect/>
                    </a:stretch>
                  </pic:blipFill>
                  <pic:spPr>
                    <a:xfrm>
                      <a:off x="0" y="0"/>
                      <a:ext cx="5251142" cy="2068622"/>
                    </a:xfrm>
                    <a:prstGeom prst="rect">
                      <a:avLst/>
                    </a:prstGeom>
                    <a:noFill/>
                    <a:ln>
                      <a:noFill/>
                    </a:ln>
                  </pic:spPr>
                </pic:pic>
              </a:graphicData>
            </a:graphic>
          </wp:inline>
        </w:drawing>
      </w:r>
    </w:p>
    <w:p>
      <w:pPr>
        <w:jc w:val="center"/>
        <w:rPr>
          <w:rFonts w:ascii="Times New Roman" w:hAnsi="Times New Roman" w:cs="Times New Roman"/>
        </w:rPr>
      </w:pPr>
      <w:bookmarkStart w:id="0" w:name="_Hlk61205479"/>
      <w:r>
        <w:rPr>
          <w:rFonts w:ascii="Times New Roman" w:hAnsi="Times New Roman" w:cs="Times New Roman"/>
          <w:b/>
          <w:bCs/>
        </w:rPr>
        <w:t xml:space="preserve">Figure </w:t>
      </w:r>
      <w:r>
        <w:rPr>
          <w:rFonts w:ascii="Times New Roman" w:hAnsi="Times New Roman" w:cs="Times New Roman"/>
          <w:b/>
          <w:bCs/>
          <w:kern w:val="0"/>
          <w:szCs w:val="24"/>
          <w:lang w:eastAsia="en-US" w:bidi="en-US"/>
        </w:rPr>
        <w:t>5</w:t>
      </w:r>
      <w:r>
        <w:rPr>
          <w:rFonts w:ascii="Times New Roman" w:hAnsi="Times New Roman" w:cs="Times New Roman"/>
          <w:b/>
          <w:bCs/>
        </w:rPr>
        <w:t>.</w:t>
      </w:r>
      <w:r>
        <w:rPr>
          <w:rFonts w:ascii="Times New Roman" w:hAnsi="Times New Roman" w:cs="Times New Roman"/>
        </w:rPr>
        <w:t xml:space="preserve"> (A) Sun uses the torque generated by the fluid flow to rotate the cells. (B) A microfluidic platform used to achieve oocyte capture and direction control. Adapted with permission from [35], copyright 2012 IEEE, and [58], copyright 2013 IEEE.</w:t>
      </w:r>
      <w:bookmarkEnd w:id="0"/>
    </w:p>
    <w:p/>
    <w:p/>
    <w:p/>
    <w:p/>
    <w:p/>
    <w:p/>
    <w:p/>
    <w:p/>
    <w:p/>
    <w:p/>
    <w:p/>
    <w:p/>
    <w:p/>
    <w:p/>
    <w:p/>
    <w:p/>
    <w:p/>
    <w:p/>
    <w:p/>
    <w:p/>
    <w:p/>
    <w:p/>
    <w:p/>
    <w:p/>
    <w:p/>
    <w:p/>
    <w:p/>
    <w:p/>
    <w:p/>
    <w:p/>
    <w:p>
      <w:pPr>
        <w:pStyle w:val="2"/>
        <w:tabs>
          <w:tab w:val="left" w:pos="361"/>
        </w:tabs>
        <w:spacing w:before="0"/>
        <w:ind w:left="0"/>
        <w:jc w:val="center"/>
        <w:rPr>
          <w:b w:val="0"/>
          <w:bCs w:val="0"/>
        </w:rPr>
      </w:pPr>
      <w:r>
        <w:rPr>
          <w:b w:val="0"/>
          <w:bCs w:val="0"/>
        </w:rPr>
        <w:drawing>
          <wp:inline distT="0" distB="0" distL="0" distR="0">
            <wp:extent cx="5095240" cy="4125595"/>
            <wp:effectExtent l="0" t="0" r="10160" b="190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9">
                      <a:extLst>
                        <a:ext uri="{28A0092B-C50C-407E-A947-70E740481C1C}">
                          <a14:useLocalDpi xmlns:a14="http://schemas.microsoft.com/office/drawing/2010/main" val="0"/>
                        </a:ext>
                      </a:extLst>
                    </a:blip>
                    <a:srcRect l="588" r="-1"/>
                    <a:stretch>
                      <a:fillRect/>
                    </a:stretch>
                  </pic:blipFill>
                  <pic:spPr>
                    <a:xfrm>
                      <a:off x="0" y="0"/>
                      <a:ext cx="5110554" cy="4138247"/>
                    </a:xfrm>
                    <a:prstGeom prst="rect">
                      <a:avLst/>
                    </a:prstGeom>
                    <a:noFill/>
                    <a:ln>
                      <a:noFill/>
                    </a:ln>
                  </pic:spPr>
                </pic:pic>
              </a:graphicData>
            </a:graphic>
          </wp:inline>
        </w:drawing>
      </w:r>
    </w:p>
    <w:p>
      <w:pPr>
        <w:pStyle w:val="2"/>
        <w:tabs>
          <w:tab w:val="left" w:pos="361"/>
        </w:tabs>
        <w:spacing w:before="0"/>
        <w:ind w:left="0"/>
        <w:jc w:val="center"/>
        <w:rPr>
          <w:b w:val="0"/>
          <w:bCs w:val="0"/>
        </w:rPr>
      </w:pPr>
      <w:bookmarkStart w:id="1" w:name="_Hlk61205659"/>
      <w:r>
        <w:t xml:space="preserve">Figure 6. </w:t>
      </w:r>
      <w:r>
        <w:rPr>
          <w:b w:val="0"/>
          <w:bCs w:val="0"/>
        </w:rPr>
        <w:t>(A) Schematic diagram of a dielectrophoretic chip. (B) Scanning electron microscopy image of liquid metal-based capillary microneedle electrodes. (C) The effect of dielectrophoresis forceps and drive oocyte rotation</w:t>
      </w:r>
      <w:bookmarkEnd w:id="1"/>
      <w:r>
        <w:rPr>
          <w:b w:val="0"/>
          <w:bCs w:val="0"/>
        </w:rPr>
        <w:t>. Adapted with permission from [62], copyright 2018 Royal Society of Chemistry, and [63], copyright 2018 John Wiley and Sons, and [64], copyright 2020 IEEE.</w:t>
      </w:r>
    </w:p>
    <w:p/>
    <w:p/>
    <w:p/>
    <w:p/>
    <w:p/>
    <w:p/>
    <w:p/>
    <w:p/>
    <w:p/>
    <w:p/>
    <w:p/>
    <w:p/>
    <w:p/>
    <w:p/>
    <w:p/>
    <w:p/>
    <w:p/>
    <w:p/>
    <w:p>
      <w:pPr>
        <w:pStyle w:val="2"/>
        <w:tabs>
          <w:tab w:val="left" w:pos="361"/>
        </w:tabs>
        <w:spacing w:before="0"/>
        <w:ind w:left="0"/>
        <w:jc w:val="center"/>
        <w:rPr>
          <w:rFonts w:eastAsiaTheme="minorEastAsia"/>
          <w:b w:val="0"/>
          <w:bCs w:val="0"/>
          <w:lang w:eastAsia="zh-CN"/>
        </w:rPr>
      </w:pPr>
      <w:r>
        <w:rPr>
          <w:rFonts w:eastAsiaTheme="minorEastAsia"/>
          <w:b w:val="0"/>
          <w:bCs w:val="0"/>
          <w:lang w:eastAsia="zh-CN"/>
        </w:rPr>
        <w:drawing>
          <wp:inline distT="0" distB="0" distL="0" distR="0">
            <wp:extent cx="5166360" cy="3297555"/>
            <wp:effectExtent l="0" t="0" r="2540"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0">
                      <a:extLst>
                        <a:ext uri="{28A0092B-C50C-407E-A947-70E740481C1C}">
                          <a14:useLocalDpi xmlns:a14="http://schemas.microsoft.com/office/drawing/2010/main" val="0"/>
                        </a:ext>
                      </a:extLst>
                    </a:blip>
                    <a:srcRect l="1347" r="559"/>
                    <a:stretch>
                      <a:fillRect/>
                    </a:stretch>
                  </pic:blipFill>
                  <pic:spPr>
                    <a:xfrm>
                      <a:off x="0" y="0"/>
                      <a:ext cx="5166901" cy="3298190"/>
                    </a:xfrm>
                    <a:prstGeom prst="rect">
                      <a:avLst/>
                    </a:prstGeom>
                    <a:noFill/>
                    <a:ln>
                      <a:noFill/>
                    </a:ln>
                  </pic:spPr>
                </pic:pic>
              </a:graphicData>
            </a:graphic>
          </wp:inline>
        </w:drawing>
      </w:r>
    </w:p>
    <w:p>
      <w:pPr>
        <w:pStyle w:val="2"/>
        <w:tabs>
          <w:tab w:val="left" w:pos="361"/>
        </w:tabs>
        <w:spacing w:before="0"/>
        <w:ind w:left="0"/>
        <w:jc w:val="center"/>
        <w:rPr>
          <w:rFonts w:eastAsiaTheme="minorEastAsia"/>
          <w:b w:val="0"/>
          <w:bCs w:val="0"/>
          <w:lang w:eastAsia="zh-CN"/>
        </w:rPr>
      </w:pPr>
      <w:bookmarkStart w:id="2" w:name="_Hlk61205888"/>
      <w:r>
        <w:rPr>
          <w:rFonts w:eastAsiaTheme="minorEastAsia"/>
          <w:lang w:eastAsia="zh-CN"/>
        </w:rPr>
        <w:t xml:space="preserve">Figure </w:t>
      </w:r>
      <w:r>
        <w:t>7</w:t>
      </w:r>
      <w:r>
        <w:rPr>
          <w:rFonts w:eastAsiaTheme="minorEastAsia"/>
          <w:lang w:eastAsia="zh-CN"/>
        </w:rPr>
        <w:t>. Various sensors for measuring the injection force.</w:t>
      </w:r>
      <w:r>
        <w:rPr>
          <w:rFonts w:eastAsiaTheme="minorEastAsia"/>
          <w:b w:val="0"/>
          <w:bCs w:val="0"/>
          <w:lang w:eastAsia="zh-CN"/>
        </w:rPr>
        <w:t xml:space="preserve"> (A) Piezoresistive force sensor</w:t>
      </w:r>
      <w:r>
        <w:rPr>
          <w:b w:val="0"/>
          <w:bCs w:val="0"/>
        </w:rPr>
        <w:t xml:space="preserve">. </w:t>
      </w:r>
      <w:r>
        <w:rPr>
          <w:rFonts w:eastAsiaTheme="minorEastAsia"/>
          <w:b w:val="0"/>
          <w:bCs w:val="0"/>
          <w:lang w:eastAsia="zh-CN"/>
        </w:rPr>
        <w:t xml:space="preserve">(B) Capacitive six-axis force sensor based on </w:t>
      </w:r>
      <w:r>
        <w:rPr>
          <w:rFonts w:eastAsia="等线"/>
          <w:b w:val="0"/>
          <w:bCs w:val="0"/>
          <w:lang w:eastAsia="zh-CN"/>
        </w:rPr>
        <w:t xml:space="preserve">the </w:t>
      </w:r>
      <w:r>
        <w:rPr>
          <w:rFonts w:eastAsiaTheme="minorEastAsia"/>
          <w:b w:val="0"/>
          <w:bCs w:val="0"/>
          <w:lang w:eastAsia="zh-CN"/>
        </w:rPr>
        <w:t>MEMS process</w:t>
      </w:r>
      <w:r>
        <w:rPr>
          <w:b w:val="0"/>
          <w:bCs w:val="0"/>
        </w:rPr>
        <w:t xml:space="preserve">. </w:t>
      </w:r>
      <w:r>
        <w:rPr>
          <w:rFonts w:eastAsiaTheme="minorEastAsia"/>
          <w:b w:val="0"/>
          <w:bCs w:val="0"/>
          <w:lang w:eastAsia="zh-CN"/>
        </w:rPr>
        <w:t xml:space="preserve">(C) </w:t>
      </w:r>
      <w:r>
        <w:rPr>
          <w:rFonts w:eastAsia="等线"/>
          <w:b w:val="0"/>
          <w:bCs w:val="0"/>
          <w:lang w:eastAsia="zh-CN"/>
        </w:rPr>
        <w:t>Microforce</w:t>
      </w:r>
      <w:r>
        <w:rPr>
          <w:rFonts w:eastAsiaTheme="minorEastAsia"/>
          <w:b w:val="0"/>
          <w:bCs w:val="0"/>
          <w:lang w:eastAsia="zh-CN"/>
        </w:rPr>
        <w:t xml:space="preserve"> sensor based on piezoelectric material PVDF</w:t>
      </w:r>
      <w:r>
        <w:rPr>
          <w:b w:val="0"/>
          <w:bCs w:val="0"/>
        </w:rPr>
        <w:t xml:space="preserve">. </w:t>
      </w:r>
      <w:r>
        <w:rPr>
          <w:rFonts w:eastAsiaTheme="minorEastAsia"/>
          <w:b w:val="0"/>
          <w:bCs w:val="0"/>
          <w:lang w:eastAsia="zh-CN"/>
        </w:rPr>
        <w:t>(D)</w:t>
      </w:r>
      <w:r>
        <w:t xml:space="preserve"> </w:t>
      </w:r>
      <w:r>
        <w:rPr>
          <w:rFonts w:eastAsiaTheme="minorEastAsia"/>
          <w:b w:val="0"/>
          <w:bCs w:val="0"/>
          <w:lang w:eastAsia="zh-CN"/>
        </w:rPr>
        <w:t>A micro-optical force sensor</w:t>
      </w:r>
      <w:r>
        <w:rPr>
          <w:b w:val="0"/>
          <w:bCs w:val="0"/>
        </w:rPr>
        <w:t xml:space="preserve">. </w:t>
      </w:r>
      <w:bookmarkEnd w:id="2"/>
      <w:r>
        <w:rPr>
          <w:b w:val="0"/>
          <w:bCs w:val="0"/>
        </w:rPr>
        <w:t>Adapted with permission from [52], copyright 2012 IEEE, and [81], copyright 2009 IEEE, and [84], copyright 2009 SAGE Publications, and [87], copyright 2006 IEEE.</w:t>
      </w:r>
    </w:p>
    <w:p/>
    <w:p/>
    <w:p/>
    <w:p/>
    <w:p/>
    <w:p/>
    <w:p/>
    <w:p/>
    <w:p/>
    <w:p/>
    <w:p/>
    <w:p/>
    <w:p/>
    <w:p/>
    <w:p/>
    <w:p/>
    <w:p/>
    <w:p/>
    <w:p/>
    <w:p/>
    <w:p/>
    <w:p>
      <w:pPr>
        <w:pStyle w:val="2"/>
        <w:tabs>
          <w:tab w:val="left" w:pos="361"/>
        </w:tabs>
        <w:spacing w:before="0"/>
        <w:ind w:left="0"/>
        <w:jc w:val="center"/>
        <w:rPr>
          <w:rFonts w:eastAsiaTheme="minorEastAsia"/>
          <w:b w:val="0"/>
          <w:bCs w:val="0"/>
          <w:lang w:eastAsia="zh-CN"/>
        </w:rPr>
      </w:pPr>
      <w:r>
        <w:rPr>
          <w:rFonts w:eastAsiaTheme="minorEastAsia"/>
          <w:b w:val="0"/>
          <w:bCs w:val="0"/>
          <w:lang w:eastAsia="zh-CN"/>
        </w:rPr>
        <w:drawing>
          <wp:inline distT="0" distB="0" distL="0" distR="0">
            <wp:extent cx="5101590" cy="3437255"/>
            <wp:effectExtent l="0" t="0" r="3810" b="444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1">
                      <a:extLst>
                        <a:ext uri="{28A0092B-C50C-407E-A947-70E740481C1C}">
                          <a14:useLocalDpi xmlns:a14="http://schemas.microsoft.com/office/drawing/2010/main" val="0"/>
                        </a:ext>
                      </a:extLst>
                    </a:blip>
                    <a:srcRect t="-880" b="-1"/>
                    <a:stretch>
                      <a:fillRect/>
                    </a:stretch>
                  </pic:blipFill>
                  <pic:spPr>
                    <a:xfrm>
                      <a:off x="0" y="0"/>
                      <a:ext cx="5114823" cy="3445889"/>
                    </a:xfrm>
                    <a:prstGeom prst="rect">
                      <a:avLst/>
                    </a:prstGeom>
                    <a:noFill/>
                    <a:ln>
                      <a:noFill/>
                    </a:ln>
                  </pic:spPr>
                </pic:pic>
              </a:graphicData>
            </a:graphic>
          </wp:inline>
        </w:drawing>
      </w:r>
    </w:p>
    <w:p>
      <w:pPr>
        <w:pStyle w:val="2"/>
        <w:tabs>
          <w:tab w:val="left" w:pos="361"/>
        </w:tabs>
        <w:spacing w:before="0"/>
        <w:ind w:left="0"/>
        <w:jc w:val="center"/>
        <w:rPr>
          <w:rFonts w:eastAsiaTheme="minorEastAsia"/>
          <w:b w:val="0"/>
          <w:bCs w:val="0"/>
          <w:lang w:eastAsia="zh-CN"/>
        </w:rPr>
      </w:pPr>
      <w:bookmarkStart w:id="3" w:name="_Hlk61206096"/>
      <w:r>
        <w:rPr>
          <w:rFonts w:eastAsiaTheme="minorEastAsia"/>
          <w:color w:val="000000" w:themeColor="text1"/>
          <w:lang w:eastAsia="zh-CN"/>
          <w14:textFill>
            <w14:solidFill>
              <w14:schemeClr w14:val="tx1"/>
            </w14:solidFill>
          </w14:textFill>
        </w:rPr>
        <w:t xml:space="preserve">Figure </w:t>
      </w:r>
      <w:r>
        <w:t>8</w:t>
      </w:r>
      <w:r>
        <w:rPr>
          <w:rFonts w:eastAsiaTheme="minorEastAsia"/>
          <w:color w:val="000000" w:themeColor="text1"/>
          <w:lang w:eastAsia="zh-CN"/>
          <w14:textFill>
            <w14:solidFill>
              <w14:schemeClr w14:val="tx1"/>
            </w14:solidFill>
          </w14:textFill>
        </w:rPr>
        <w:t>.</w:t>
      </w:r>
      <w:r>
        <w:rPr>
          <w:rFonts w:eastAsiaTheme="minorEastAsia"/>
          <w:b w:val="0"/>
          <w:bCs w:val="0"/>
          <w:lang w:eastAsia="zh-CN"/>
        </w:rPr>
        <w:t xml:space="preserve"> (A) Schematic diagram of the cell injection system with inner loop impedance control and outer loop feedback control</w:t>
      </w:r>
      <w:r>
        <w:rPr>
          <w:b w:val="0"/>
          <w:bCs w:val="0"/>
        </w:rPr>
        <w:t>.</w:t>
      </w:r>
      <w:r>
        <w:rPr>
          <w:rFonts w:eastAsiaTheme="minorEastAsia"/>
          <w:b w:val="0"/>
          <w:bCs w:val="0"/>
          <w:lang w:eastAsia="zh-CN"/>
        </w:rPr>
        <w:t xml:space="preserve"> (B)</w:t>
      </w:r>
      <w:r>
        <w:t xml:space="preserve"> </w:t>
      </w:r>
      <w:r>
        <w:rPr>
          <w:rFonts w:eastAsiaTheme="minorEastAsia"/>
          <w:b w:val="0"/>
          <w:bCs w:val="0"/>
          <w:lang w:eastAsia="zh-CN"/>
        </w:rPr>
        <w:t xml:space="preserve">An injection system solution with </w:t>
      </w:r>
      <w:r>
        <w:rPr>
          <w:rFonts w:eastAsia="等线"/>
          <w:b w:val="0"/>
          <w:bCs w:val="0"/>
          <w:lang w:eastAsia="zh-CN"/>
        </w:rPr>
        <w:t xml:space="preserve">position/force </w:t>
      </w:r>
      <w:r>
        <w:rPr>
          <w:rFonts w:eastAsiaTheme="minorEastAsia"/>
          <w:b w:val="0"/>
          <w:bCs w:val="0"/>
          <w:lang w:eastAsia="zh-CN"/>
        </w:rPr>
        <w:t>switch control</w:t>
      </w:r>
      <w:r>
        <w:rPr>
          <w:b w:val="0"/>
          <w:bCs w:val="0"/>
        </w:rPr>
        <w:t>.</w:t>
      </w:r>
      <w:r>
        <w:t xml:space="preserve"> </w:t>
      </w:r>
      <w:r>
        <w:rPr>
          <w:b w:val="0"/>
          <w:bCs w:val="0"/>
        </w:rPr>
        <w:t>Adapted with permission from [</w:t>
      </w:r>
      <w:r>
        <w:rPr>
          <w:rFonts w:eastAsiaTheme="minorEastAsia"/>
          <w:b w:val="0"/>
          <w:bCs w:val="0"/>
          <w:lang w:eastAsia="zh-CN"/>
        </w:rPr>
        <w:t>84</w:t>
      </w:r>
      <w:r>
        <w:rPr>
          <w:b w:val="0"/>
          <w:bCs w:val="0"/>
        </w:rPr>
        <w:t>], copyright 2009 SAGE Publications, and [</w:t>
      </w:r>
      <w:r>
        <w:rPr>
          <w:rFonts w:eastAsiaTheme="minorEastAsia"/>
          <w:b w:val="0"/>
          <w:bCs w:val="0"/>
          <w:lang w:eastAsia="zh-CN"/>
        </w:rPr>
        <w:t>97</w:t>
      </w:r>
      <w:r>
        <w:rPr>
          <w:b w:val="0"/>
          <w:bCs w:val="0"/>
        </w:rPr>
        <w:t>], copyright 20</w:t>
      </w:r>
      <w:r>
        <w:rPr>
          <w:rFonts w:eastAsiaTheme="minorEastAsia"/>
          <w:b w:val="0"/>
          <w:bCs w:val="0"/>
          <w:lang w:eastAsia="zh-CN"/>
        </w:rPr>
        <w:t>17</w:t>
      </w:r>
      <w:r>
        <w:rPr>
          <w:b w:val="0"/>
          <w:bCs w:val="0"/>
        </w:rPr>
        <w:t xml:space="preserve"> IEEE</w:t>
      </w:r>
      <w:r>
        <w:rPr>
          <w:rFonts w:eastAsiaTheme="minorEastAsia"/>
          <w:b w:val="0"/>
          <w:bCs w:val="0"/>
          <w:lang w:eastAsia="zh-CN"/>
        </w:rPr>
        <w:t>.</w:t>
      </w:r>
    </w:p>
    <w:bookmarkEnd w:id="3"/>
    <w:p/>
    <w:p/>
    <w:p/>
    <w:p/>
    <w:p/>
    <w:p/>
    <w:p/>
    <w:p/>
    <w:p/>
    <w:p/>
    <w:p/>
    <w:p/>
    <w:p/>
    <w:p/>
    <w:p/>
    <w:p/>
    <w:p/>
    <w:p/>
    <w:p/>
    <w:p/>
    <w:p/>
    <w:p/>
    <w:p>
      <w:pPr>
        <w:pStyle w:val="2"/>
        <w:tabs>
          <w:tab w:val="left" w:pos="361"/>
        </w:tabs>
        <w:spacing w:before="0"/>
        <w:ind w:left="0"/>
        <w:jc w:val="center"/>
        <w:rPr>
          <w:rFonts w:eastAsiaTheme="minorEastAsia"/>
          <w:b w:val="0"/>
          <w:bCs w:val="0"/>
          <w:lang w:eastAsia="zh-CN"/>
        </w:rPr>
      </w:pPr>
      <w:r>
        <w:rPr>
          <w:rFonts w:eastAsiaTheme="minorEastAsia"/>
          <w:b w:val="0"/>
          <w:bCs w:val="0"/>
          <w:lang w:eastAsia="zh-CN"/>
        </w:rPr>
        <w:drawing>
          <wp:inline distT="0" distB="0" distL="0" distR="0">
            <wp:extent cx="5271770" cy="3706495"/>
            <wp:effectExtent l="0" t="0" r="11430" b="19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2">
                      <a:extLst>
                        <a:ext uri="{28A0092B-C50C-407E-A947-70E740481C1C}">
                          <a14:useLocalDpi xmlns:a14="http://schemas.microsoft.com/office/drawing/2010/main" val="0"/>
                        </a:ext>
                      </a:extLst>
                    </a:blip>
                    <a:srcRect l="835"/>
                    <a:stretch>
                      <a:fillRect/>
                    </a:stretch>
                  </pic:blipFill>
                  <pic:spPr>
                    <a:xfrm>
                      <a:off x="0" y="0"/>
                      <a:ext cx="5271831" cy="3706495"/>
                    </a:xfrm>
                    <a:prstGeom prst="rect">
                      <a:avLst/>
                    </a:prstGeom>
                    <a:noFill/>
                    <a:ln>
                      <a:noFill/>
                    </a:ln>
                  </pic:spPr>
                </pic:pic>
              </a:graphicData>
            </a:graphic>
          </wp:inline>
        </w:drawing>
      </w:r>
    </w:p>
    <w:p>
      <w:pPr>
        <w:pStyle w:val="2"/>
        <w:tabs>
          <w:tab w:val="left" w:pos="361"/>
        </w:tabs>
        <w:spacing w:before="0"/>
        <w:ind w:left="0"/>
        <w:jc w:val="center"/>
        <w:rPr>
          <w:rFonts w:eastAsiaTheme="minorEastAsia"/>
          <w:b w:val="0"/>
          <w:bCs w:val="0"/>
          <w:lang w:eastAsia="zh-CN"/>
        </w:rPr>
      </w:pPr>
      <w:bookmarkStart w:id="4" w:name="_Hlk61206139"/>
      <w:r>
        <w:rPr>
          <w:rFonts w:eastAsiaTheme="minorEastAsia"/>
          <w:lang w:eastAsia="zh-CN"/>
        </w:rPr>
        <w:t xml:space="preserve">Figure </w:t>
      </w:r>
      <w:r>
        <w:t>9</w:t>
      </w:r>
      <w:r>
        <w:rPr>
          <w:rFonts w:eastAsiaTheme="minorEastAsia"/>
          <w:lang w:eastAsia="zh-CN"/>
        </w:rPr>
        <w:t xml:space="preserve">. Various improved piezoelectric ultrasonic </w:t>
      </w:r>
      <w:r>
        <w:rPr>
          <w:rFonts w:eastAsia="等线"/>
          <w:lang w:eastAsia="zh-CN"/>
        </w:rPr>
        <w:t>microinjectors</w:t>
      </w:r>
      <w:r>
        <w:rPr>
          <w:rFonts w:eastAsiaTheme="minorEastAsia"/>
          <w:lang w:eastAsia="zh-CN"/>
        </w:rPr>
        <w:t xml:space="preserve">. </w:t>
      </w:r>
      <w:r>
        <w:rPr>
          <w:rFonts w:eastAsiaTheme="minorEastAsia"/>
          <w:b w:val="0"/>
          <w:bCs w:val="0"/>
          <w:lang w:eastAsia="zh-CN"/>
        </w:rPr>
        <w:t>(A) Microinjector with piezoelectric ceramic front</w:t>
      </w:r>
      <w:r>
        <w:rPr>
          <w:b w:val="0"/>
          <w:bCs w:val="0"/>
        </w:rPr>
        <w:t xml:space="preserve">. </w:t>
      </w:r>
      <w:r>
        <w:rPr>
          <w:rFonts w:eastAsiaTheme="minorEastAsia"/>
          <w:b w:val="0"/>
          <w:bCs w:val="0"/>
          <w:lang w:eastAsia="zh-CN"/>
        </w:rPr>
        <w:t>(B) Piezoelectric ultrasonic microinjector with</w:t>
      </w:r>
      <w:r>
        <w:rPr>
          <w:rFonts w:eastAsia="等线"/>
          <w:b w:val="0"/>
          <w:bCs w:val="0"/>
          <w:lang w:eastAsia="zh-CN"/>
        </w:rPr>
        <w:t xml:space="preserve"> a</w:t>
      </w:r>
      <w:r>
        <w:rPr>
          <w:rFonts w:eastAsiaTheme="minorEastAsia"/>
          <w:b w:val="0"/>
          <w:bCs w:val="0"/>
          <w:lang w:eastAsia="zh-CN"/>
        </w:rPr>
        <w:t xml:space="preserve"> flexible mechanism</w:t>
      </w:r>
      <w:r>
        <w:rPr>
          <w:b w:val="0"/>
          <w:bCs w:val="0"/>
        </w:rPr>
        <w:t xml:space="preserve">. </w:t>
      </w:r>
      <w:r>
        <w:rPr>
          <w:rFonts w:eastAsiaTheme="minorEastAsia"/>
          <w:b w:val="0"/>
          <w:bCs w:val="0"/>
          <w:lang w:eastAsia="zh-CN"/>
        </w:rPr>
        <w:t>(C) Microinjector with piezoelectric actuator eccentric configuration</w:t>
      </w:r>
      <w:r>
        <w:rPr>
          <w:b w:val="0"/>
          <w:bCs w:val="0"/>
        </w:rPr>
        <w:t>. Adapted with permission fro</w:t>
      </w:r>
      <w:r>
        <w:rPr>
          <w:rFonts w:eastAsiaTheme="minorEastAsia"/>
          <w:b w:val="0"/>
          <w:bCs w:val="0"/>
          <w:lang w:eastAsia="zh-CN"/>
        </w:rPr>
        <w:t>m [104], copyright 2011 Spring Nature, and</w:t>
      </w:r>
      <w:r>
        <w:rPr>
          <w:b w:val="0"/>
          <w:bCs w:val="0"/>
        </w:rPr>
        <w:t xml:space="preserve"> [106], copyright 2018 IEEE, and</w:t>
      </w:r>
      <w:r>
        <w:rPr>
          <w:rFonts w:eastAsiaTheme="minorEastAsia"/>
          <w:b w:val="0"/>
          <w:bCs w:val="0"/>
          <w:lang w:eastAsia="zh-CN"/>
        </w:rPr>
        <w:t xml:space="preserve"> </w:t>
      </w:r>
      <w:r>
        <w:rPr>
          <w:b w:val="0"/>
          <w:bCs w:val="0"/>
        </w:rPr>
        <w:t>[107], copyright 2020 IEEE.</w:t>
      </w:r>
    </w:p>
    <w:bookmarkEnd w:id="4"/>
    <w:p/>
    <w:p/>
    <w:p/>
    <w:p/>
    <w:p/>
    <w:p/>
    <w:p/>
    <w:p/>
    <w:p/>
    <w:p/>
    <w:p/>
    <w:p/>
    <w:p/>
    <w:p/>
    <w:p/>
    <w:p/>
    <w:p/>
    <w:p/>
    <w:p/>
    <w:p/>
    <w:p>
      <w:pPr>
        <w:pStyle w:val="2"/>
        <w:tabs>
          <w:tab w:val="left" w:pos="361"/>
        </w:tabs>
        <w:spacing w:before="0"/>
        <w:ind w:left="0"/>
        <w:jc w:val="center"/>
        <w:rPr>
          <w:rFonts w:eastAsiaTheme="minorEastAsia"/>
          <w:b w:val="0"/>
          <w:bCs w:val="0"/>
          <w:lang w:eastAsia="zh-CN"/>
        </w:rPr>
      </w:pPr>
      <w:r>
        <w:rPr>
          <w:rFonts w:eastAsiaTheme="minorEastAsia"/>
          <w:b w:val="0"/>
          <w:bCs w:val="0"/>
          <w:lang w:eastAsia="zh-CN"/>
        </w:rPr>
        <w:drawing>
          <wp:inline distT="0" distB="0" distL="0" distR="0">
            <wp:extent cx="5304155" cy="1743710"/>
            <wp:effectExtent l="0" t="0" r="4445"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3">
                      <a:extLst>
                        <a:ext uri="{28A0092B-C50C-407E-A947-70E740481C1C}">
                          <a14:useLocalDpi xmlns:a14="http://schemas.microsoft.com/office/drawing/2010/main" val="0"/>
                        </a:ext>
                      </a:extLst>
                    </a:blip>
                    <a:srcRect t="2412" r="1679" b="2823"/>
                    <a:stretch>
                      <a:fillRect/>
                    </a:stretch>
                  </pic:blipFill>
                  <pic:spPr>
                    <a:xfrm>
                      <a:off x="0" y="0"/>
                      <a:ext cx="5305032" cy="1744521"/>
                    </a:xfrm>
                    <a:prstGeom prst="rect">
                      <a:avLst/>
                    </a:prstGeom>
                    <a:noFill/>
                    <a:ln>
                      <a:noFill/>
                    </a:ln>
                  </pic:spPr>
                </pic:pic>
              </a:graphicData>
            </a:graphic>
          </wp:inline>
        </w:drawing>
      </w:r>
    </w:p>
    <w:p>
      <w:pPr>
        <w:pStyle w:val="2"/>
        <w:tabs>
          <w:tab w:val="left" w:pos="361"/>
        </w:tabs>
        <w:spacing w:before="0"/>
        <w:ind w:left="0"/>
        <w:jc w:val="center"/>
        <w:rPr>
          <w:rFonts w:eastAsiaTheme="minorEastAsia"/>
          <w:b w:val="0"/>
          <w:bCs w:val="0"/>
          <w:lang w:eastAsia="zh-CN"/>
        </w:rPr>
      </w:pPr>
      <w:bookmarkStart w:id="5" w:name="_Hlk61206253"/>
      <w:r>
        <w:rPr>
          <w:rFonts w:eastAsiaTheme="minorEastAsia"/>
          <w:lang w:eastAsia="zh-CN"/>
        </w:rPr>
        <w:t xml:space="preserve">Figure </w:t>
      </w:r>
      <w:r>
        <w:t>10</w:t>
      </w:r>
      <w:r>
        <w:rPr>
          <w:rFonts w:eastAsiaTheme="minorEastAsia"/>
          <w:lang w:eastAsia="zh-CN"/>
        </w:rPr>
        <w:t xml:space="preserve">. </w:t>
      </w:r>
      <w:r>
        <w:rPr>
          <w:rFonts w:eastAsiaTheme="minorEastAsia"/>
          <w:b w:val="0"/>
          <w:bCs w:val="0"/>
          <w:lang w:eastAsia="zh-CN"/>
        </w:rPr>
        <w:t xml:space="preserve">(A) </w:t>
      </w:r>
      <w:r>
        <w:rPr>
          <w:rFonts w:eastAsia="等线"/>
          <w:b w:val="0"/>
          <w:bCs w:val="0"/>
          <w:lang w:eastAsia="zh-CN"/>
        </w:rPr>
        <w:t>High</w:t>
      </w:r>
      <w:r>
        <w:rPr>
          <w:rFonts w:eastAsiaTheme="minorEastAsia"/>
          <w:b w:val="0"/>
          <w:bCs w:val="0"/>
          <w:lang w:eastAsia="zh-CN"/>
        </w:rPr>
        <w:t>-precision pressure-driven pump for the quantitative injection of picolitre.</w:t>
      </w:r>
      <w:r>
        <w:rPr>
          <w:b w:val="0"/>
          <w:bCs w:val="0"/>
        </w:rPr>
        <w:t xml:space="preserve"> </w:t>
      </w:r>
      <w:r>
        <w:rPr>
          <w:rFonts w:eastAsiaTheme="minorEastAsia"/>
          <w:b w:val="0"/>
          <w:bCs w:val="0"/>
          <w:lang w:eastAsia="zh-CN"/>
        </w:rPr>
        <w:t xml:space="preserve">(B) </w:t>
      </w:r>
      <w:r>
        <w:rPr>
          <w:rFonts w:eastAsia="等线"/>
          <w:b w:val="0"/>
          <w:bCs w:val="0"/>
          <w:lang w:eastAsia="zh-CN"/>
        </w:rPr>
        <w:t xml:space="preserve">Electrical </w:t>
      </w:r>
      <w:r>
        <w:rPr>
          <w:rFonts w:eastAsiaTheme="minorEastAsia"/>
          <w:b w:val="0"/>
          <w:bCs w:val="0"/>
          <w:lang w:eastAsia="zh-CN"/>
        </w:rPr>
        <w:t>schematic diagram of the injection system based on electroosmosis</w:t>
      </w:r>
      <w:r>
        <w:rPr>
          <w:b w:val="0"/>
          <w:bCs w:val="0"/>
        </w:rPr>
        <w:t>. Adapted with permission from [111], copyright 2017 World Scientific Publishing Co,</w:t>
      </w:r>
      <w:r>
        <w:rPr>
          <w:rFonts w:eastAsiaTheme="minorEastAsia"/>
          <w:b w:val="0"/>
          <w:bCs w:val="0"/>
          <w:lang w:eastAsia="zh-CN"/>
        </w:rPr>
        <w:t xml:space="preserve"> </w:t>
      </w:r>
      <w:r>
        <w:rPr>
          <w:b w:val="0"/>
          <w:bCs w:val="0"/>
        </w:rPr>
        <w:t>and [112], copyright 2009 Royal Society of Chemistry.</w:t>
      </w:r>
    </w:p>
    <w:bookmarkEnd w:id="5"/>
    <w:p/>
    <w:p/>
    <w:p/>
    <w:p/>
    <w:p/>
    <w:p/>
    <w:p/>
    <w:p/>
    <w:p/>
    <w:p/>
    <w:p/>
    <w:p/>
    <w:p/>
    <w:p/>
    <w:p/>
    <w:p/>
    <w:p/>
    <w:p/>
    <w:p/>
    <w:p/>
    <w:p/>
    <w:p/>
    <w:p/>
    <w:p/>
    <w:p/>
    <w:p/>
    <w:p/>
    <w:p/>
    <w:p/>
    <w:p/>
    <w:p/>
    <w:p>
      <w:pPr>
        <w:pStyle w:val="2"/>
        <w:tabs>
          <w:tab w:val="left" w:pos="361"/>
        </w:tabs>
        <w:spacing w:before="0"/>
        <w:ind w:left="0"/>
        <w:jc w:val="center"/>
        <w:rPr>
          <w:rFonts w:eastAsiaTheme="minorEastAsia"/>
          <w:b w:val="0"/>
          <w:bCs w:val="0"/>
          <w:lang w:eastAsia="zh-CN"/>
        </w:rPr>
      </w:pPr>
      <w:r>
        <w:rPr>
          <w:rFonts w:eastAsiaTheme="minorEastAsia"/>
          <w:b w:val="0"/>
          <w:bCs w:val="0"/>
          <w:lang w:eastAsia="zh-CN"/>
        </w:rPr>
        <w:drawing>
          <wp:inline distT="0" distB="0" distL="0" distR="0">
            <wp:extent cx="2883535" cy="2542540"/>
            <wp:effectExtent l="0" t="0" r="12065" b="1016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2883535" cy="2542540"/>
                    </a:xfrm>
                    <a:prstGeom prst="rect">
                      <a:avLst/>
                    </a:prstGeom>
                    <a:noFill/>
                  </pic:spPr>
                </pic:pic>
              </a:graphicData>
            </a:graphic>
          </wp:inline>
        </w:drawing>
      </w:r>
    </w:p>
    <w:p>
      <w:pPr>
        <w:pStyle w:val="2"/>
        <w:tabs>
          <w:tab w:val="left" w:pos="361"/>
        </w:tabs>
        <w:spacing w:before="0"/>
        <w:ind w:left="0"/>
        <w:jc w:val="center"/>
        <w:rPr>
          <w:rFonts w:eastAsiaTheme="minorEastAsia"/>
          <w:b w:val="0"/>
          <w:bCs w:val="0"/>
          <w:lang w:eastAsia="zh-CN"/>
        </w:rPr>
      </w:pPr>
      <w:r>
        <w:rPr>
          <w:rFonts w:eastAsiaTheme="minorEastAsia"/>
          <w:lang w:eastAsia="zh-CN"/>
        </w:rPr>
        <w:t xml:space="preserve">Figure </w:t>
      </w:r>
      <w:r>
        <w:t>11</w:t>
      </w:r>
      <w:r>
        <w:rPr>
          <w:rFonts w:eastAsiaTheme="minorEastAsia"/>
          <w:lang w:eastAsia="zh-CN"/>
        </w:rPr>
        <w:t>. Schematic diagram of four electrofusion schemes.</w:t>
      </w:r>
      <w:r>
        <w:rPr>
          <w:rFonts w:eastAsiaTheme="minorEastAsia"/>
          <w:b w:val="0"/>
          <w:bCs w:val="0"/>
          <w:lang w:eastAsia="zh-CN"/>
        </w:rPr>
        <w:t xml:space="preserve"> (a) tip-end plus tip-end (TT); (b) tip-end plus frustum-end (TF); (c) frustum-end plus frustum-end (FF);</w:t>
      </w:r>
      <w:r>
        <w:rPr>
          <w:rFonts w:eastAsia="等线"/>
          <w:b w:val="0"/>
          <w:bCs w:val="0"/>
          <w:lang w:eastAsia="zh-CN"/>
        </w:rPr>
        <w:t xml:space="preserve"> </w:t>
      </w:r>
      <w:r>
        <w:rPr>
          <w:rFonts w:eastAsiaTheme="minorEastAsia"/>
          <w:b w:val="0"/>
          <w:bCs w:val="0"/>
          <w:lang w:eastAsia="zh-CN"/>
        </w:rPr>
        <w:t xml:space="preserve">(d) parallel </w:t>
      </w:r>
      <w:r>
        <w:rPr>
          <w:rFonts w:eastAsia="等线"/>
          <w:b w:val="0"/>
          <w:bCs w:val="0"/>
          <w:lang w:eastAsia="zh-CN"/>
        </w:rPr>
        <w:t>microelectrodes</w:t>
      </w:r>
      <w:r>
        <w:rPr>
          <w:rFonts w:eastAsiaTheme="minorEastAsia"/>
          <w:b w:val="0"/>
          <w:bCs w:val="0"/>
          <w:lang w:eastAsia="zh-CN"/>
        </w:rPr>
        <w:t xml:space="preserve"> (PM).</w:t>
      </w:r>
      <w:r>
        <w:rPr>
          <w:b w:val="0"/>
          <w:bCs w:val="0"/>
        </w:rPr>
        <w:t xml:space="preserve"> Adapted with permission from [</w:t>
      </w:r>
      <w:r>
        <w:rPr>
          <w:rFonts w:eastAsiaTheme="minorEastAsia"/>
          <w:b w:val="0"/>
          <w:bCs w:val="0"/>
          <w:lang w:eastAsia="zh-CN"/>
        </w:rPr>
        <w:t>156</w:t>
      </w:r>
      <w:r>
        <w:rPr>
          <w:b w:val="0"/>
          <w:bCs w:val="0"/>
        </w:rPr>
        <w:t>], copyright 2007 Elsevier.</w:t>
      </w:r>
    </w:p>
    <w:p/>
    <w:p/>
    <w:p/>
    <w:p/>
    <w:p/>
    <w:p/>
    <w:p/>
    <w:p/>
    <w:p/>
    <w:p/>
    <w:p/>
    <w:p/>
    <w:p/>
    <w:p/>
    <w:p/>
    <w:p/>
    <w:p/>
    <w:p/>
    <w:p/>
    <w:p/>
    <w:p/>
    <w:p/>
    <w:p/>
    <w:p/>
    <w:p/>
    <w:p/>
    <w:p/>
    <w:p>
      <w:pPr>
        <w:pStyle w:val="2"/>
        <w:tabs>
          <w:tab w:val="left" w:pos="361"/>
        </w:tabs>
        <w:spacing w:before="0"/>
        <w:ind w:left="0"/>
        <w:jc w:val="center"/>
        <w:rPr>
          <w:rFonts w:eastAsiaTheme="minorEastAsia"/>
          <w:b w:val="0"/>
          <w:bCs w:val="0"/>
          <w:lang w:eastAsia="zh-CN"/>
        </w:rPr>
      </w:pPr>
      <w:r>
        <w:rPr>
          <w:rFonts w:eastAsiaTheme="minorEastAsia"/>
          <w:b w:val="0"/>
          <w:bCs w:val="0"/>
          <w:lang w:eastAsia="zh-CN"/>
        </w:rPr>
        <w:drawing>
          <wp:inline distT="0" distB="0" distL="0" distR="0">
            <wp:extent cx="5184140" cy="3023235"/>
            <wp:effectExtent l="0" t="0" r="1016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5">
                      <a:extLst>
                        <a:ext uri="{28A0092B-C50C-407E-A947-70E740481C1C}">
                          <a14:useLocalDpi xmlns:a14="http://schemas.microsoft.com/office/drawing/2010/main" val="0"/>
                        </a:ext>
                      </a:extLst>
                    </a:blip>
                    <a:srcRect l="1336" r="1139"/>
                    <a:stretch>
                      <a:fillRect/>
                    </a:stretch>
                  </pic:blipFill>
                  <pic:spPr>
                    <a:xfrm>
                      <a:off x="0" y="0"/>
                      <a:ext cx="5184656" cy="3023870"/>
                    </a:xfrm>
                    <a:prstGeom prst="rect">
                      <a:avLst/>
                    </a:prstGeom>
                    <a:noFill/>
                    <a:ln>
                      <a:noFill/>
                    </a:ln>
                  </pic:spPr>
                </pic:pic>
              </a:graphicData>
            </a:graphic>
          </wp:inline>
        </w:drawing>
      </w:r>
    </w:p>
    <w:p>
      <w:pPr>
        <w:pStyle w:val="2"/>
        <w:tabs>
          <w:tab w:val="left" w:pos="361"/>
        </w:tabs>
        <w:spacing w:before="0"/>
        <w:ind w:left="0"/>
        <w:jc w:val="center"/>
        <w:rPr>
          <w:rFonts w:eastAsiaTheme="minorEastAsia"/>
          <w:b w:val="0"/>
          <w:bCs w:val="0"/>
          <w:lang w:eastAsia="zh-CN"/>
        </w:rPr>
      </w:pPr>
      <w:r>
        <w:rPr>
          <w:rFonts w:eastAsiaTheme="minorEastAsia"/>
          <w:lang w:eastAsia="zh-CN"/>
        </w:rPr>
        <w:t xml:space="preserve">Figure </w:t>
      </w:r>
      <w:r>
        <w:t>12</w:t>
      </w:r>
      <w:r>
        <w:rPr>
          <w:rFonts w:eastAsiaTheme="minorEastAsia"/>
          <w:lang w:eastAsia="zh-CN"/>
        </w:rPr>
        <w:t>.</w:t>
      </w:r>
      <w:r>
        <w:t xml:space="preserve"> </w:t>
      </w:r>
      <w:r>
        <w:rPr>
          <w:rFonts w:eastAsiaTheme="minorEastAsia"/>
          <w:lang w:eastAsia="zh-CN"/>
        </w:rPr>
        <w:t xml:space="preserve">Various electrofusion chips with interdigitated electrodes. </w:t>
      </w:r>
      <w:r>
        <w:rPr>
          <w:rFonts w:eastAsiaTheme="minorEastAsia"/>
          <w:b w:val="0"/>
          <w:bCs w:val="0"/>
          <w:lang w:eastAsia="zh-CN"/>
        </w:rPr>
        <w:t>(A) A schematic diagram of a microfluidic chip with a high-aspect-ratio microelectrode array</w:t>
      </w:r>
      <w:r>
        <w:rPr>
          <w:b w:val="0"/>
          <w:bCs w:val="0"/>
        </w:rPr>
        <w:t xml:space="preserve">. </w:t>
      </w:r>
      <w:r>
        <w:rPr>
          <w:rFonts w:eastAsiaTheme="minorEastAsia"/>
          <w:b w:val="0"/>
          <w:bCs w:val="0"/>
          <w:lang w:eastAsia="zh-CN"/>
        </w:rPr>
        <w:t>(B) An electrofusion chip with 1368 pairs of silicon microelectrodes</w:t>
      </w:r>
      <w:r>
        <w:rPr>
          <w:b w:val="0"/>
          <w:bCs w:val="0"/>
        </w:rPr>
        <w:t xml:space="preserve">. </w:t>
      </w:r>
      <w:r>
        <w:rPr>
          <w:rFonts w:eastAsiaTheme="minorEastAsia"/>
          <w:b w:val="0"/>
          <w:bCs w:val="0"/>
          <w:lang w:eastAsia="zh-CN"/>
        </w:rPr>
        <w:t xml:space="preserve">(C) A </w:t>
      </w:r>
      <w:r>
        <w:rPr>
          <w:rFonts w:eastAsia="等线"/>
          <w:b w:val="0"/>
          <w:bCs w:val="0"/>
          <w:lang w:eastAsia="zh-CN"/>
        </w:rPr>
        <w:t>schematic</w:t>
      </w:r>
      <w:r>
        <w:rPr>
          <w:rFonts w:eastAsiaTheme="minorEastAsia"/>
          <w:b w:val="0"/>
          <w:bCs w:val="0"/>
          <w:lang w:eastAsia="zh-CN"/>
        </w:rPr>
        <w:t xml:space="preserve"> diagram of the flexible electrofusion chip. unit: </w:t>
      </w:r>
      <m:oMath>
        <m:r>
          <m:rPr>
            <m:sty m:val="bi"/>
          </m:rPr>
          <w:rPr>
            <w:rFonts w:ascii="Cambria Math" w:hAnsi="Cambria Math" w:eastAsiaTheme="minorEastAsia"/>
            <w:lang w:eastAsia="zh-CN"/>
          </w:rPr>
          <m:t>μm</m:t>
        </m:r>
      </m:oMath>
      <w:r>
        <w:rPr>
          <w:rFonts w:eastAsiaTheme="minorEastAsia"/>
          <w:b w:val="0"/>
          <w:bCs w:val="0"/>
          <w:lang w:eastAsia="zh-CN"/>
        </w:rPr>
        <w:t>.</w:t>
      </w:r>
      <w:r>
        <w:rPr>
          <w:b w:val="0"/>
          <w:bCs w:val="0"/>
        </w:rPr>
        <w:t xml:space="preserve"> Adapted with permission from [157], copyright 2004 Spring Nature, and [158], copyright 2008 Springer Nature, and [</w:t>
      </w:r>
      <w:r>
        <w:rPr>
          <w:rFonts w:eastAsiaTheme="minorEastAsia"/>
          <w:b w:val="0"/>
          <w:bCs w:val="0"/>
          <w:lang w:eastAsia="zh-CN"/>
        </w:rPr>
        <w:t>159</w:t>
      </w:r>
      <w:r>
        <w:rPr>
          <w:b w:val="0"/>
          <w:bCs w:val="0"/>
        </w:rPr>
        <w:t>], copyright 2009 Elsevier.</w:t>
      </w:r>
    </w:p>
    <w:p/>
    <w:p/>
    <w:p/>
    <w:p/>
    <w:p/>
    <w:p/>
    <w:p/>
    <w:p/>
    <w:p/>
    <w:p/>
    <w:p/>
    <w:p/>
    <w:p/>
    <w:p/>
    <w:p/>
    <w:p/>
    <w:p/>
    <w:p/>
    <w:p/>
    <w:p/>
    <w:p/>
    <w:p/>
    <w:p>
      <w:pPr>
        <w:pStyle w:val="2"/>
        <w:spacing w:before="0"/>
        <w:ind w:left="0"/>
        <w:jc w:val="both"/>
        <w:rPr>
          <w:rFonts w:eastAsiaTheme="minorEastAsia"/>
          <w:b w:val="0"/>
          <w:bCs w:val="0"/>
          <w:lang w:eastAsia="zh-CN"/>
        </w:rPr>
      </w:pPr>
      <w:r>
        <w:rPr>
          <w:rFonts w:eastAsiaTheme="minorEastAsia"/>
          <w:b w:val="0"/>
          <w:bCs w:val="0"/>
          <w:lang w:eastAsia="zh-CN"/>
        </w:rPr>
        <w:drawing>
          <wp:inline distT="0" distB="0" distL="0" distR="0">
            <wp:extent cx="5260975" cy="3169285"/>
            <wp:effectExtent l="0" t="0" r="9525"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6">
                      <a:extLst>
                        <a:ext uri="{28A0092B-C50C-407E-A947-70E740481C1C}">
                          <a14:useLocalDpi xmlns:a14="http://schemas.microsoft.com/office/drawing/2010/main" val="0"/>
                        </a:ext>
                      </a:extLst>
                    </a:blip>
                    <a:srcRect l="643" t="766" r="494"/>
                    <a:stretch>
                      <a:fillRect/>
                    </a:stretch>
                  </pic:blipFill>
                  <pic:spPr>
                    <a:xfrm>
                      <a:off x="0" y="0"/>
                      <a:ext cx="5261990" cy="3170236"/>
                    </a:xfrm>
                    <a:prstGeom prst="rect">
                      <a:avLst/>
                    </a:prstGeom>
                    <a:noFill/>
                    <a:ln>
                      <a:noFill/>
                    </a:ln>
                  </pic:spPr>
                </pic:pic>
              </a:graphicData>
            </a:graphic>
          </wp:inline>
        </w:drawing>
      </w:r>
    </w:p>
    <w:p>
      <w:pPr>
        <w:pStyle w:val="2"/>
        <w:spacing w:before="0"/>
        <w:ind w:left="0"/>
        <w:jc w:val="center"/>
        <w:rPr>
          <w:b w:val="0"/>
          <w:bCs w:val="0"/>
        </w:rPr>
      </w:pPr>
      <w:r>
        <w:rPr>
          <w:rFonts w:eastAsiaTheme="minorEastAsia"/>
          <w:lang w:eastAsia="zh-CN"/>
        </w:rPr>
        <w:t xml:space="preserve">Figure </w:t>
      </w:r>
      <w:r>
        <w:t>13</w:t>
      </w:r>
      <w:r>
        <w:rPr>
          <w:rFonts w:eastAsiaTheme="minorEastAsia"/>
          <w:lang w:eastAsia="zh-CN"/>
        </w:rPr>
        <w:t xml:space="preserve">. </w:t>
      </w:r>
      <w:r>
        <w:rPr>
          <w:rFonts w:eastAsiaTheme="minorEastAsia"/>
          <w:b w:val="0"/>
          <w:bCs w:val="0"/>
          <w:lang w:eastAsia="zh-CN"/>
        </w:rPr>
        <w:t>(A) A double-layer microfluidic chip integrating automatic cell positioning and cell electrofusion</w:t>
      </w:r>
      <w:r>
        <w:rPr>
          <w:b w:val="0"/>
          <w:bCs w:val="0"/>
        </w:rPr>
        <w:t xml:space="preserve">. </w:t>
      </w:r>
      <w:r>
        <w:rPr>
          <w:rFonts w:eastAsiaTheme="minorEastAsia"/>
          <w:b w:val="0"/>
          <w:bCs w:val="0"/>
          <w:lang w:eastAsia="zh-CN"/>
        </w:rPr>
        <w:t>(B) A microfluidic chip integrates thousands of microtraps made of PDMS and its working steps. (C) A microfluidic chip can separate cells of different diameters and perform electrofusion and its working schematic diagram</w:t>
      </w:r>
      <w:r>
        <w:rPr>
          <w:b w:val="0"/>
          <w:bCs w:val="0"/>
        </w:rPr>
        <w:t xml:space="preserve">. </w:t>
      </w:r>
      <w:r>
        <w:rPr>
          <w:rFonts w:eastAsiaTheme="minorEastAsia"/>
          <w:b w:val="0"/>
          <w:bCs w:val="0"/>
          <w:lang w:eastAsia="zh-CN"/>
        </w:rPr>
        <w:t>(D) A microfluidic chip for electrofusion of GUVs and its working diagram</w:t>
      </w:r>
      <w:r>
        <w:rPr>
          <w:b w:val="0"/>
          <w:bCs w:val="0"/>
        </w:rPr>
        <w:t>. Adapted with permission from [</w:t>
      </w:r>
      <w:r>
        <w:rPr>
          <w:rFonts w:eastAsiaTheme="minorEastAsia"/>
          <w:b w:val="0"/>
          <w:bCs w:val="0"/>
          <w:lang w:eastAsia="zh-CN"/>
        </w:rPr>
        <w:t>160</w:t>
      </w:r>
      <w:r>
        <w:rPr>
          <w:b w:val="0"/>
          <w:bCs w:val="0"/>
        </w:rPr>
        <w:t>], copyright 2010</w:t>
      </w:r>
      <w:r>
        <w:t xml:space="preserve"> </w:t>
      </w:r>
      <w:r>
        <w:rPr>
          <w:b w:val="0"/>
          <w:bCs w:val="0"/>
        </w:rPr>
        <w:t>Spring Nature, and [</w:t>
      </w:r>
      <w:r>
        <w:rPr>
          <w:rFonts w:eastAsiaTheme="minorEastAsia"/>
          <w:b w:val="0"/>
          <w:bCs w:val="0"/>
          <w:lang w:eastAsia="zh-CN"/>
        </w:rPr>
        <w:t>161</w:t>
      </w:r>
      <w:r>
        <w:rPr>
          <w:b w:val="0"/>
          <w:bCs w:val="0"/>
        </w:rPr>
        <w:t>], copyright 2009 Spring Nature, and [</w:t>
      </w:r>
      <w:r>
        <w:rPr>
          <w:rFonts w:eastAsiaTheme="minorEastAsia"/>
          <w:b w:val="0"/>
          <w:bCs w:val="0"/>
          <w:lang w:eastAsia="zh-CN"/>
        </w:rPr>
        <w:t>162</w:t>
      </w:r>
      <w:r>
        <w:rPr>
          <w:b w:val="0"/>
          <w:bCs w:val="0"/>
        </w:rPr>
        <w:t>], copyright 2014 Royal Society of Chemistry, and [</w:t>
      </w:r>
      <w:r>
        <w:rPr>
          <w:rFonts w:eastAsiaTheme="minorEastAsia"/>
          <w:b w:val="0"/>
          <w:bCs w:val="0"/>
          <w:lang w:eastAsia="zh-CN"/>
        </w:rPr>
        <w:t>163</w:t>
      </w:r>
      <w:r>
        <w:rPr>
          <w:b w:val="0"/>
          <w:bCs w:val="0"/>
        </w:rPr>
        <w:t>], copyright 2020 Elsevier.</w:t>
      </w:r>
    </w:p>
    <w:p/>
    <w:p/>
    <w:p/>
    <w:p/>
    <w:p/>
    <w:p/>
    <w:p/>
    <w:p/>
    <w:p/>
    <w:p/>
    <w:p/>
    <w:p/>
    <w:p/>
    <w:p/>
    <w:p/>
    <w:p/>
    <w:p/>
    <w:p/>
    <w:p/>
    <w:p>
      <w:pPr>
        <w:jc w:val="center"/>
        <w:rPr>
          <w:rFonts w:ascii="Times New Roman" w:hAnsi="Times New Roman" w:cs="Times New Roman"/>
          <w:szCs w:val="24"/>
        </w:rPr>
      </w:pPr>
      <w:r>
        <w:rPr>
          <w:rFonts w:ascii="Times New Roman" w:hAnsi="Times New Roman" w:cs="Times New Roman"/>
          <w:szCs w:val="24"/>
        </w:rPr>
        <w:drawing>
          <wp:inline distT="0" distB="0" distL="0" distR="0">
            <wp:extent cx="5110480" cy="4935220"/>
            <wp:effectExtent l="0" t="0" r="7620" b="508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7"/>
                    <a:srcRect l="1885" t="1621" r="1183" b="1170"/>
                    <a:stretch>
                      <a:fillRect/>
                    </a:stretch>
                  </pic:blipFill>
                  <pic:spPr>
                    <a:xfrm>
                      <a:off x="0" y="0"/>
                      <a:ext cx="5110972" cy="4935488"/>
                    </a:xfrm>
                    <a:prstGeom prst="rect">
                      <a:avLst/>
                    </a:prstGeom>
                    <a:ln>
                      <a:noFill/>
                    </a:ln>
                  </pic:spPr>
                </pic:pic>
              </a:graphicData>
            </a:graphic>
          </wp:inline>
        </w:drawing>
      </w:r>
    </w:p>
    <w:p>
      <w:pPr>
        <w:tabs>
          <w:tab w:val="left" w:pos="361"/>
        </w:tabs>
        <w:autoSpaceDE w:val="0"/>
        <w:autoSpaceDN w:val="0"/>
        <w:jc w:val="center"/>
        <w:outlineLvl w:val="0"/>
        <w:rPr>
          <w:rFonts w:ascii="Times New Roman" w:hAnsi="Times New Roman" w:cs="Times New Roman"/>
          <w:kern w:val="0"/>
          <w:szCs w:val="24"/>
          <w:lang w:eastAsia="en-US" w:bidi="en-US"/>
        </w:rPr>
      </w:pPr>
      <w:r>
        <w:rPr>
          <w:rFonts w:ascii="Times New Roman" w:hAnsi="Times New Roman" w:cs="Times New Roman" w:eastAsiaTheme="minorEastAsia"/>
          <w:b/>
          <w:bCs/>
          <w:kern w:val="0"/>
          <w:szCs w:val="24"/>
          <w:lang w:bidi="en-US"/>
        </w:rPr>
        <w:t>Figure 14. The mechanical stimulation system</w:t>
      </w:r>
      <w:r>
        <w:rPr>
          <w:rFonts w:ascii="Times New Roman" w:hAnsi="Times New Roman" w:cs="Times New Roman"/>
          <w:kern w:val="0"/>
          <w:szCs w:val="24"/>
          <w:lang w:eastAsia="en-US" w:bidi="en-US"/>
        </w:rPr>
        <w:t xml:space="preserve"> (A) A novel microwell-structured microfluidic device that integrates single oocyte trapping, fertilization and subsequent embryo culture. (B) A dynamic microfunnel embryo culture system would enhance outcomes by better mimicking the fluid mechanical and biochemical stimulation embryos experience in vivo from ciliary currents and oviductal contractions. (C) A microfluidic system that supports murine ovarian follicles to produce the human 28-day menstrual cycle hormone profile, which controls the human female reproductive tract and peripheral tissue dynamics in single-, dual- and multiple-unit microfluidic platforms.</w:t>
      </w:r>
      <w:r>
        <w:t xml:space="preserve"> </w:t>
      </w:r>
      <w:r>
        <w:rPr>
          <w:rFonts w:ascii="Times New Roman" w:hAnsi="Times New Roman" w:cs="Times New Roman"/>
          <w:kern w:val="0"/>
          <w:szCs w:val="24"/>
          <w:lang w:eastAsia="en-US" w:bidi="en-US"/>
        </w:rPr>
        <w:t>Adapted with permission from [217], copyright 2011 Royal Society of Chemistry, and [222], copyright 2018 Oxford University Press, and [223], copyright 2020 Nature Pub. Group.</w:t>
      </w:r>
    </w:p>
    <w:p/>
    <w:p/>
    <w:p/>
    <w:p/>
    <w:p/>
    <w:p/>
    <w:p/>
    <w:p/>
    <w:p>
      <w:pPr>
        <w:spacing w:before="192" w:line="408" w:lineRule="auto"/>
        <w:jc w:val="center"/>
        <w:rPr>
          <w:rFonts w:ascii="Times New Roman" w:hAnsi="Times New Roman" w:cs="Times New Roman"/>
          <w:szCs w:val="24"/>
        </w:rPr>
      </w:pPr>
      <w:r>
        <w:rPr>
          <w:rFonts w:ascii="Times New Roman" w:hAnsi="Times New Roman" w:cs="Times New Roman"/>
          <w:szCs w:val="24"/>
        </w:rPr>
        <w:drawing>
          <wp:inline distT="0" distB="0" distL="0" distR="0">
            <wp:extent cx="5114925" cy="3853815"/>
            <wp:effectExtent l="0" t="0" r="3175" b="698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8"/>
                    <a:srcRect l="1687" t="1357" r="1303"/>
                    <a:stretch>
                      <a:fillRect/>
                    </a:stretch>
                  </pic:blipFill>
                  <pic:spPr>
                    <a:xfrm>
                      <a:off x="0" y="0"/>
                      <a:ext cx="5116621" cy="3854781"/>
                    </a:xfrm>
                    <a:prstGeom prst="rect">
                      <a:avLst/>
                    </a:prstGeom>
                    <a:ln>
                      <a:noFill/>
                    </a:ln>
                  </pic:spPr>
                </pic:pic>
              </a:graphicData>
            </a:graphic>
          </wp:inline>
        </w:drawing>
      </w:r>
    </w:p>
    <w:p>
      <w:pPr>
        <w:tabs>
          <w:tab w:val="left" w:pos="361"/>
        </w:tabs>
        <w:autoSpaceDE w:val="0"/>
        <w:autoSpaceDN w:val="0"/>
        <w:jc w:val="center"/>
        <w:outlineLvl w:val="0"/>
        <w:rPr>
          <w:rFonts w:ascii="Times New Roman" w:hAnsi="Times New Roman" w:cs="Times New Roman"/>
          <w:kern w:val="0"/>
          <w:szCs w:val="24"/>
          <w:lang w:eastAsia="en-US" w:bidi="en-US"/>
        </w:rPr>
      </w:pPr>
      <w:r>
        <w:rPr>
          <w:rFonts w:ascii="Times New Roman" w:hAnsi="Times New Roman" w:cs="Times New Roman"/>
          <w:b/>
          <w:bCs/>
          <w:kern w:val="0"/>
          <w:szCs w:val="24"/>
          <w:lang w:eastAsia="en-US" w:bidi="en-US"/>
        </w:rPr>
        <w:t>Figure 15. Uterine-like co-culture microfluidic chip</w:t>
      </w:r>
      <w:r>
        <w:rPr>
          <w:rFonts w:ascii="Times New Roman" w:hAnsi="Times New Roman" w:cs="Times New Roman"/>
          <w:kern w:val="0"/>
          <w:szCs w:val="24"/>
          <w:lang w:eastAsia="en-US" w:bidi="en-US"/>
        </w:rPr>
        <w:t xml:space="preserve"> (A)</w:t>
      </w:r>
      <w:r>
        <w:rPr>
          <w:rFonts w:ascii="Times New Roman" w:hAnsi="Times New Roman" w:cs="Times New Roman"/>
          <w:b/>
          <w:bCs/>
          <w:kern w:val="0"/>
          <w:szCs w:val="24"/>
          <w:lang w:eastAsia="en-US" w:bidi="en-US"/>
        </w:rPr>
        <w:t xml:space="preserve"> </w:t>
      </w:r>
      <w:r>
        <w:rPr>
          <w:rFonts w:ascii="Times New Roman" w:hAnsi="Times New Roman" w:cs="Times New Roman"/>
          <w:kern w:val="0"/>
          <w:szCs w:val="24"/>
          <w:lang w:eastAsia="en-US" w:bidi="en-US"/>
        </w:rPr>
        <w:t xml:space="preserve">A novel microdevice that integrates each step of IVF, including oocyte positioning, sperm screening, fertilization, medium replacement, and embryo culture. (B) A U-shaped porous membrane three-dimensional fallopian tube model chip. (C) An oviduct-on-a-chip platform to better investigate the mechanisms related to (epi)genetic reprogramming and the degree to which they differ between in vitro and in vivo embryos. (D) A microfluidic chip co-cultured with embryos and endometrial stromal cells. </w:t>
      </w:r>
      <w:r>
        <w:rPr>
          <w:rFonts w:ascii="Times New Roman" w:hAnsi="Times New Roman" w:cs="Times New Roman" w:eastAsiaTheme="minorEastAsia"/>
          <w:kern w:val="0"/>
          <w:szCs w:val="24"/>
          <w:lang w:bidi="en-US"/>
        </w:rPr>
        <w:t>Adapted with permission from [226], copyright 2011 American Chemical Society, and [227], copyright 2017 Royal Society of Chemistry, and [228], copyright 2018 Nature Pub. Group, and [229], copyright 2016 Elsevier Sequoia.</w:t>
      </w:r>
    </w:p>
    <w:p/>
    <w:p/>
    <w:p/>
    <w:p/>
    <w:p/>
    <w:p/>
    <w:p/>
    <w:p/>
    <w:p/>
    <w:p/>
    <w:p/>
    <w:p/>
    <w:p/>
    <w:p/>
    <w:p>
      <w:pPr>
        <w:widowControl/>
        <w:jc w:val="center"/>
        <w:rPr>
          <w:rFonts w:ascii="Times New Roman" w:hAnsi="Times New Roman" w:cs="Times New Roman"/>
          <w:szCs w:val="24"/>
        </w:rPr>
      </w:pPr>
      <w:r>
        <w:rPr>
          <w:rFonts w:ascii="Times New Roman" w:hAnsi="Times New Roman" w:cs="Times New Roman"/>
          <w:szCs w:val="24"/>
        </w:rPr>
        <w:drawing>
          <wp:inline distT="0" distB="0" distL="0" distR="0">
            <wp:extent cx="5090795" cy="4627245"/>
            <wp:effectExtent l="0" t="0" r="1905" b="825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9"/>
                    <a:srcRect l="171" t="1205" r="3284"/>
                    <a:stretch>
                      <a:fillRect/>
                    </a:stretch>
                  </pic:blipFill>
                  <pic:spPr>
                    <a:xfrm>
                      <a:off x="0" y="0"/>
                      <a:ext cx="5092066" cy="4627951"/>
                    </a:xfrm>
                    <a:prstGeom prst="rect">
                      <a:avLst/>
                    </a:prstGeom>
                    <a:ln>
                      <a:noFill/>
                    </a:ln>
                  </pic:spPr>
                </pic:pic>
              </a:graphicData>
            </a:graphic>
          </wp:inline>
        </w:drawing>
      </w:r>
    </w:p>
    <w:p>
      <w:pPr>
        <w:tabs>
          <w:tab w:val="left" w:pos="361"/>
        </w:tabs>
        <w:autoSpaceDE w:val="0"/>
        <w:autoSpaceDN w:val="0"/>
        <w:jc w:val="center"/>
        <w:outlineLvl w:val="0"/>
        <w:rPr>
          <w:rFonts w:ascii="Times New Roman" w:hAnsi="Times New Roman" w:cs="Times New Roman"/>
          <w:kern w:val="0"/>
          <w:szCs w:val="24"/>
          <w:lang w:eastAsia="en-US" w:bidi="en-US"/>
        </w:rPr>
      </w:pPr>
      <w:r>
        <w:rPr>
          <w:rFonts w:ascii="Times New Roman" w:hAnsi="Times New Roman" w:cs="Times New Roman"/>
          <w:b/>
          <w:bCs/>
          <w:kern w:val="0"/>
          <w:szCs w:val="24"/>
          <w:lang w:eastAsia="en-US" w:bidi="en-US"/>
        </w:rPr>
        <w:t xml:space="preserve">Figure 16. DMF-style dynamic cultivation system. </w:t>
      </w:r>
      <w:r>
        <w:rPr>
          <w:rFonts w:ascii="Times New Roman" w:hAnsi="Times New Roman" w:cs="Times New Roman"/>
          <w:kern w:val="0"/>
          <w:szCs w:val="24"/>
          <w:lang w:eastAsia="en-US" w:bidi="en-US"/>
        </w:rPr>
        <w:t>(A) Dual-plate digital microfluidic device EWOD technology. (B) Digital microfluidic equipment to automate the processing of vitrified frozen embryos. (C)</w:t>
      </w:r>
      <w:r>
        <w:rPr>
          <w:rFonts w:ascii="Times New Roman" w:hAnsi="Times New Roman" w:cs="Times New Roman"/>
          <w:b/>
          <w:bCs/>
          <w:kern w:val="0"/>
          <w:szCs w:val="24"/>
          <w:lang w:eastAsia="en-US" w:bidi="en-US"/>
        </w:rPr>
        <w:t xml:space="preserve"> </w:t>
      </w:r>
      <w:r>
        <w:rPr>
          <w:rFonts w:ascii="Times New Roman" w:hAnsi="Times New Roman" w:cs="Times New Roman"/>
          <w:kern w:val="0"/>
          <w:szCs w:val="24"/>
          <w:lang w:eastAsia="en-US" w:bidi="en-US"/>
        </w:rPr>
        <w:t>A microfluidic microchannel system for IVF is considered to provide an improved in vivo-mimicking environment to enhance the development of an embryo culture system before implantation. (D) A new DMF chip design with a PDMS ring has solved the problem of gas exchange during long-term embryo culture. Adapted with permission from [247], copyright 2009 Royal Society of Chemistry, and [248], copyright 2014 Public Library of Science, and [249], copyright 2015 Public Library of Science, and [250], copyright 2015 IEEE.</w:t>
      </w:r>
    </w:p>
    <w:p/>
    <w:p/>
    <w:p/>
    <w:p/>
    <w:p/>
    <w:p/>
    <w:p/>
    <w:p/>
    <w:p/>
    <w:p/>
    <w:p>
      <w:pPr>
        <w:pStyle w:val="2"/>
        <w:spacing w:before="0"/>
        <w:ind w:left="0"/>
        <w:jc w:val="center"/>
        <w:rPr>
          <w:rFonts w:eastAsiaTheme="minorEastAsia"/>
          <w:b w:val="0"/>
          <w:bCs w:val="0"/>
          <w:lang w:eastAsia="zh-CN"/>
        </w:rPr>
      </w:pPr>
      <w:r>
        <w:rPr>
          <w:rFonts w:eastAsiaTheme="minorEastAsia"/>
          <w:b w:val="0"/>
          <w:bCs w:val="0"/>
          <w:lang w:eastAsia="zh-CN"/>
        </w:rPr>
        <w:drawing>
          <wp:inline distT="0" distB="0" distL="0" distR="0">
            <wp:extent cx="5433060" cy="3180080"/>
            <wp:effectExtent l="0" t="0" r="254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449168" cy="3189757"/>
                    </a:xfrm>
                    <a:prstGeom prst="rect">
                      <a:avLst/>
                    </a:prstGeom>
                    <a:noFill/>
                  </pic:spPr>
                </pic:pic>
              </a:graphicData>
            </a:graphic>
          </wp:inline>
        </w:drawing>
      </w:r>
    </w:p>
    <w:p>
      <w:pPr>
        <w:pStyle w:val="2"/>
        <w:spacing w:before="0"/>
        <w:ind w:left="0"/>
        <w:jc w:val="center"/>
        <w:rPr>
          <w:rFonts w:eastAsiaTheme="minorEastAsia"/>
          <w:b w:val="0"/>
          <w:bCs w:val="0"/>
          <w:lang w:eastAsia="zh-CN"/>
        </w:rPr>
      </w:pPr>
      <w:r>
        <w:rPr>
          <w:rFonts w:eastAsiaTheme="minorEastAsia"/>
          <w:lang w:eastAsia="zh-CN"/>
        </w:rPr>
        <w:t>Figure 17</w:t>
      </w:r>
      <w:r>
        <w:rPr>
          <w:rFonts w:eastAsiaTheme="minorEastAsia"/>
          <w:b w:val="0"/>
          <w:bCs w:val="0"/>
          <w:lang w:eastAsia="zh-CN"/>
        </w:rPr>
        <w:t>. Critical nodes in embryo engineering technology and their main research contents</w:t>
      </w:r>
    </w:p>
    <w:p>
      <w:bookmarkStart w:id="6" w:name="_GoBack"/>
      <w:bookmarkEnd w:id="6"/>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E5A147F"/>
    <w:rsid w:val="3E5A14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Times New Roman" w:asciiTheme="minorHAnsi" w:hAnsiTheme="minorHAnsi" w:cstheme="minorBidi"/>
      <w:kern w:val="2"/>
      <w:sz w:val="24"/>
      <w:szCs w:val="22"/>
      <w:lang w:val="en-GB" w:eastAsia="zh-CN" w:bidi="ar-SA"/>
    </w:rPr>
  </w:style>
  <w:style w:type="paragraph" w:styleId="2">
    <w:name w:val="heading 1"/>
    <w:basedOn w:val="1"/>
    <w:next w:val="1"/>
    <w:qFormat/>
    <w:uiPriority w:val="9"/>
    <w:pPr>
      <w:autoSpaceDE w:val="0"/>
      <w:autoSpaceDN w:val="0"/>
      <w:spacing w:before="90"/>
      <w:ind w:left="120"/>
      <w:jc w:val="left"/>
      <w:outlineLvl w:val="0"/>
    </w:pPr>
    <w:rPr>
      <w:rFonts w:ascii="Times New Roman" w:hAnsi="Times New Roman" w:cs="Times New Roman"/>
      <w:b/>
      <w:bCs/>
      <w:kern w:val="0"/>
      <w:szCs w:val="24"/>
      <w:lang w:eastAsia="en-US" w:bidi="en-US"/>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Office_11.1.0.9192_F1E327BC-269C-435d-A152-05C5408002CA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2021-05-18T04:41:00Z</dcterms:created>
  <dc:creator>hbhua</dc:creator>
  <cp:lastModifiedBy>hbhua</cp:lastModifiedBy>
  <dcterms:modified xsi:type="dcterms:W3CDTF">2021-05-18T08:01:53Z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2052-11.1.0.9192</vt:lpwstr>
  </property>
</Properties>
</file>